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3" w:after="0"/>
        <w:ind w:left="3087" w:hanging="0"/>
        <w:jc w:val="both"/>
        <w:rPr>
          <w:sz w:val="24"/>
          <w:szCs w:val="24"/>
        </w:rPr>
      </w:pPr>
      <w:r>
        <w:rPr/>
        <w:drawing>
          <wp:inline distT="0" distB="0" distL="0" distR="0">
            <wp:extent cx="1261110" cy="130746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1" w:after="0"/>
        <w:ind w:left="1586" w:right="160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UNIVERSIDADE FEDERAL DA FRONTEIRA SUL </w:t>
      </w:r>
      <w:r>
        <w:rPr>
          <w:b/>
          <w:i/>
          <w:iCs/>
          <w:sz w:val="24"/>
          <w:szCs w:val="24"/>
        </w:rPr>
        <w:t>CAMPUS</w:t>
      </w:r>
      <w:r>
        <w:rPr>
          <w:b/>
          <w:sz w:val="24"/>
          <w:szCs w:val="24"/>
        </w:rPr>
        <w:t xml:space="preserve"> LARANJEIRAS DO SUL</w:t>
      </w:r>
    </w:p>
    <w:p>
      <w:pPr>
        <w:pStyle w:val="Normal"/>
        <w:ind w:left="1058" w:right="108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DE NÍVEL DE SEGURANÇA OPERACIONAL</w:t>
      </w:r>
    </w:p>
    <w:p>
      <w:pPr>
        <w:pStyle w:val="Normal"/>
        <w:spacing w:lineRule="exact" w:line="20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350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50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360" w:before="0" w:after="0"/>
        <w:ind w:left="126" w:right="75" w:firstLine="6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parecer a seguir apresenta a avaliação dos dados epidemiológicos da Quinta Regional de Saúde do PR (Guarapuava) a qual o município de Laranjeiras do Sul faz parte. A curva epidêmica apresentou decréscimo da 14</w:t>
      </w:r>
      <w:r>
        <w:rPr>
          <w:rFonts w:cs="Times New Roman" w:ascii="Times New Roman" w:hAnsi="Times New Roman"/>
          <w:position w:val="9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semana epidemiológica para 17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>, (</w:t>
      </w:r>
      <w:r>
        <w:rPr>
          <w:rFonts w:cs="Times New Roman" w:ascii="Times New Roman" w:hAnsi="Times New Roman"/>
          <w:sz w:val="24"/>
          <w:szCs w:val="24"/>
          <w:lang w:val="pt"/>
        </w:rPr>
        <w:t xml:space="preserve">um decréscimo de </w:t>
      </w:r>
      <w:r>
        <w:rPr>
          <w:rFonts w:cs="Times New Roman" w:ascii="Times New Roman" w:hAnsi="Times New Roman"/>
          <w:sz w:val="24"/>
          <w:szCs w:val="24"/>
        </w:rPr>
        <w:t>73,54%), com decréscimo no número de casos e decréscimo do número de óbitos da 14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para a 17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semanas. Porém, o cenário epidemiológico é ainda de alerta, devido principalmente a alta incidência de aproximadamente </w:t>
      </w:r>
      <w:r>
        <w:rPr>
          <w:rFonts w:cs="Times New Roman" w:ascii="Times New Roman" w:hAnsi="Times New Roman"/>
          <w:bCs/>
          <w:sz w:val="24"/>
          <w:szCs w:val="24"/>
        </w:rPr>
        <w:t>18.941,3</w:t>
      </w:r>
      <w:r>
        <w:rPr>
          <w:rFonts w:cs="Times New Roman" w:ascii="Times New Roman" w:hAnsi="Times New Roman"/>
          <w:sz w:val="24"/>
          <w:szCs w:val="24"/>
        </w:rPr>
        <w:t xml:space="preserve">/100 mil habitantes, sendo coeficiente de mortalidade por regional de saúde (óbitos por 100 mil habitantes) de </w:t>
      </w:r>
      <w:r>
        <w:rPr>
          <w:rFonts w:cs="Times New Roman" w:ascii="Times New Roman" w:hAnsi="Times New Roman"/>
          <w:bCs/>
          <w:sz w:val="24"/>
          <w:szCs w:val="24"/>
        </w:rPr>
        <w:t>289,3</w:t>
      </w:r>
      <w:r>
        <w:rPr>
          <w:rFonts w:cs="Times New Roman" w:ascii="Times New Roman" w:hAnsi="Times New Roman"/>
          <w:sz w:val="24"/>
          <w:szCs w:val="24"/>
        </w:rPr>
        <w:t xml:space="preserve"> (contabilizado nesse cálculo somente até a data de 26/04/2022, que corresponde a 17</w:t>
      </w:r>
      <w:r>
        <w:rPr>
          <w:rFonts w:cs="Times New Roman" w:ascii="Times New Roman" w:hAnsi="Times New Roman"/>
          <w:position w:val="9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semana epidemiológica com acesso em http://www.saude.pr.gov.br/). Além disso, até o dia 26/04/2022 o Município de Laranjeiras do Sul apresentou aumento no número de casos confirmados de COVID-19 passando de 4598 (na 14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semana/2022) para 4625 (17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semana/2022). (</w:t>
      </w:r>
      <w:r>
        <w:rPr>
          <w:rFonts w:eastAsia="Times New Roman" w:cs="Times New Roman" w:ascii="Times New Roman" w:hAnsi="Times New Roman"/>
          <w:sz w:val="24"/>
          <w:szCs w:val="24"/>
        </w:rPr>
        <w:t>https://www.laranjeirasdosul.pr.gov.br/boletins.php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Quanto a vulnerabilidade da comunidade acadêmica se classifica como alta, sendo esta análise realizada com base no banco de dados PROGESP já existente e podendo ser acessado em: https://www.uffs.edu.br/acessofacil/coronavirus/formulario- de-monitoramento.  Segundo o informe epidemiológico da Quinta Regional de Saúde expedido em 26 de abril de 2022, a capacidade do sistema hospitalar, considerando a taxa de ocupação de leitos de enfermaria e de UTI específicos para COVID-19 são, respectivamente, de 47% e 53%. O censo hospitalar geral demonstra uma taxa de ocupação geral de 87%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(Informe Epidemiológico do dia 26/04/2022, 12h.20min., https://www.saude.pr.gov.br/sites/default/arquivos_restritos/files/documento/2022-04/informe_epidemiologico_26_04_2022.pdf), ressaltando-se que as informações dependem da regularidade com que os hospitais preenchem a coleta de dados diariamente.</w:t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8" w:after="0"/>
        <w:ind w:left="102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8" w:after="0"/>
        <w:ind w:left="102" w:right="77" w:firstLine="606"/>
        <w:jc w:val="both"/>
        <w:rPr>
          <w:sz w:val="24"/>
          <w:szCs w:val="24"/>
        </w:rPr>
      </w:pPr>
      <w:r>
        <w:rPr>
          <w:sz w:val="24"/>
          <w:szCs w:val="24"/>
        </w:rPr>
        <w:t>Usando-se a taxa ponderada proposta, tendo como base média de leitos de U.T.I. existentes atual e em situações de grande e média demanda, temos uma ocupação de leitos de enfermaria de 16,6% e de U.T.I. de 19,13%. Considerando-se leitos de U.T.I. como taxa de ocupação geral.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percentual relativo entre os estudantes que apresentaram o comprovante vacinal e o número total de estudantes matriculados em CCR’s presenciais no período de março a abril de 2022 é de 71,15%.  O percentual de servidores com cobertura vicinal até a presente data é de 96,9%. O percentual total de acadêmicos e servidores com cobertura atual, nas condições citadas acima, é de 78,70%.</w:t>
      </w:r>
    </w:p>
    <w:p>
      <w:pPr>
        <w:pStyle w:val="Normal"/>
        <w:spacing w:lineRule="auto" w:line="360"/>
        <w:ind w:firstLine="720"/>
        <w:jc w:val="both"/>
        <w:rPr>
          <w:rFonts w:eastAsia="MS-UIGothic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Diante do que se apresenta com uma curva epidêmica em decréscimo com cenário epidemiológico de alerta (Soma do score 7); e/ou</w:t>
      </w:r>
      <w:r>
        <w:rPr>
          <w:b/>
          <w:bCs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Alta Vulnerabilidade da Comunidade Acadêmica (Score 14) e Taxa de Ocupação Hospitalar ponderada 19,13% e homogeneidade de cobertura vacinal com r</w:t>
      </w:r>
      <w:r>
        <w:rPr>
          <w:rFonts w:eastAsia="MS-UIGothic"/>
          <w:sz w:val="24"/>
          <w:szCs w:val="24"/>
          <w:lang w:val="pt-BR"/>
        </w:rPr>
        <w:t>isco médio &lt;80%, a matriz de cálculo indica situação de risco baixo.</w:t>
      </w:r>
    </w:p>
    <w:p>
      <w:pPr>
        <w:pStyle w:val="Normal"/>
        <w:spacing w:lineRule="auto" w:line="360"/>
        <w:ind w:firstLine="720"/>
        <w:jc w:val="both"/>
        <w:rPr>
          <w:rFonts w:eastAsia="MS-UIGothic"/>
          <w:sz w:val="24"/>
          <w:szCs w:val="24"/>
          <w:lang w:val="pt-BR"/>
        </w:rPr>
      </w:pPr>
      <w:r>
        <w:rPr>
          <w:rFonts w:eastAsia="MS-UIGothic"/>
          <w:sz w:val="24"/>
          <w:szCs w:val="24"/>
          <w:lang w:val="pt-BR"/>
        </w:rPr>
        <w:t>E ainda, a partir de deliberação do Co</w:t>
      </w:r>
      <w:r>
        <w:rPr>
          <w:rFonts w:eastAsia="MS-UIGothic" w:ascii="Times New Roman" w:hAnsi="Times New Roman"/>
          <w:sz w:val="24"/>
          <w:szCs w:val="24"/>
          <w:lang w:val="pt-BR"/>
        </w:rPr>
        <w:t>nselho de Campus, reunião extraordinária em 28/04/2022, considerando: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Redução das variáveis epidemiológicas utilizadas para o cálculo do NSO: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COEFICIENTE DE MORTALIDADE POR REGIONAL DE SAÚDE (ÓBITOS POR 100 MIL HABITANTES) no período da última semana (</w:t>
      </w:r>
      <w:r>
        <w:rPr>
          <w:rFonts w:cs="Times New Roman" w:ascii="Times New Roman" w:hAnsi="Times New Roman"/>
          <w:sz w:val="24"/>
          <w:szCs w:val="24"/>
        </w:rPr>
        <w:t>17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semana)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COEFICIENTE DE INCIDÊNCIA POR REGIONAL DE SAÚDE (CASOS CONFIRMADOS POR 100 MIL HABITANTES) no período da última semana (</w:t>
      </w:r>
      <w:r>
        <w:rPr>
          <w:rFonts w:cs="Times New Roman" w:ascii="Times New Roman" w:hAnsi="Times New Roman"/>
          <w:sz w:val="24"/>
          <w:szCs w:val="24"/>
        </w:rPr>
        <w:t>17</w:t>
      </w:r>
      <w:r>
        <w:rPr>
          <w:rFonts w:cs="Times New Roman" w:ascii="Times New Roman" w:hAnsi="Times New Roman"/>
          <w:position w:val="9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semana)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Flexibilização das restrições nas instâncias Federal, Estadual e Municipal.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Avanço na cobertura vacinal da população.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eastAsia="MS-UIGothic"/>
          <w:sz w:val="24"/>
          <w:szCs w:val="24"/>
          <w:lang w:val="pt-BR"/>
        </w:rPr>
      </w:pPr>
      <w:r>
        <w:rPr>
          <w:rFonts w:eastAsia="MS-UIGothic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Considera-se o seguinte nível de risco e segurança opera</w:t>
      </w:r>
      <w:r>
        <w:rPr>
          <w:sz w:val="24"/>
          <w:szCs w:val="24"/>
        </w:rPr>
        <w:t>cional na UFFS-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Laranjeiras do Sul-PR:</w:t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elacomgrade"/>
        <w:tblW w:w="87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30"/>
      </w:tblGrid>
      <w:tr>
        <w:trPr/>
        <w:tc>
          <w:tcPr>
            <w:tcW w:w="8730" w:type="dxa"/>
            <w:tcBorders/>
            <w:shd w:color="auto" w:fill="00B050" w:val="clear"/>
          </w:tcPr>
          <w:p>
            <w:pPr>
              <w:pStyle w:val="Normal"/>
              <w:widowControl/>
              <w:tabs>
                <w:tab w:val="clear" w:pos="720"/>
                <w:tab w:val="left" w:pos="1755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kern w:val="0"/>
                <w:sz w:val="24"/>
                <w:szCs w:val="24"/>
                <w:lang w:val="pt-BR" w:eastAsia="en-US" w:bidi="ar-SA"/>
              </w:rPr>
              <w:t xml:space="preserve">I – Nível 1: nível de segurança operacional a ser adotado para enfrentamento de uma situação de risco </w:t>
            </w:r>
            <w:r>
              <w:rPr>
                <w:rFonts w:eastAsia="Calibri"/>
                <w:b/>
                <w:bCs/>
                <w:kern w:val="0"/>
                <w:lang w:val="pt-BR" w:eastAsia="en-US" w:bidi="ar-SA"/>
              </w:rPr>
              <w:t>baixíssimo</w:t>
            </w:r>
          </w:p>
        </w:tc>
      </w:tr>
    </w:tbl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Laranjeiras do Sul, 28 de abril de 2022.</w:t>
      </w:r>
    </w:p>
    <w:sectPr>
      <w:type w:val="nextPage"/>
      <w:pgSz w:w="11920" w:h="16838"/>
      <w:pgMar w:left="1600" w:right="1580" w:header="0" w:top="760" w:footer="0" w:bottom="280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tu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8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har" w:customStyle="1">
    <w:name w:val="Título 6 Char"/>
    <w:basedOn w:val="DefaultParagraphFont"/>
    <w:link w:val="Ttulo6"/>
    <w:qFormat/>
    <w:rsid w:val="001b3490"/>
    <w:rPr>
      <w:b/>
      <w:bCs/>
      <w:sz w:val="22"/>
      <w:szCs w:val="22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50e50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810bfb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74fd7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50e5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a3f0f"/>
    <w:rPr>
      <w:rFonts w:asciiTheme="minorHAnsi" w:hAnsiTheme="minorHAnsi" w:eastAsiaTheme="minorHAnsi" w:cstheme="minorBidi"/>
      <w:lang w:val="pt-BR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LibreOffice/7.0.4.2$Windows_X86_64 LibreOffice_project/dcf040e67528d9187c66b2379df5ea4407429775</Application>
  <AppVersion>15.0000</AppVersion>
  <DocSecurity>0</DocSecurity>
  <Pages>2</Pages>
  <Words>554</Words>
  <Characters>3261</Characters>
  <CharactersWithSpaces>3866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2022-04-28T15:26:00Z</dcterms:created>
  <dc:creator>Usuário</dc:creator>
  <dc:description/>
  <dc:language>pt-BR</dc:language>
  <cp:lastModifiedBy/>
  <dcterms:modified xsi:type="dcterms:W3CDTF">2022-04-28T15:10:58Z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